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3BD" w:rsidRDefault="00BB53BD" w:rsidP="00BB53BD">
      <w:pPr>
        <w:pStyle w:val="BodyText"/>
        <w:shd w:val="clear" w:color="auto" w:fill="C6D9F1"/>
        <w:jc w:val="center"/>
        <w:rPr>
          <w:b/>
          <w:bCs/>
          <w:i/>
          <w:iCs/>
          <w:lang w:val="sr-Cyrl-CS"/>
        </w:rPr>
      </w:pPr>
      <w:proofErr w:type="gramStart"/>
      <w:r w:rsidRPr="005D0023">
        <w:rPr>
          <w:b/>
          <w:bCs/>
          <w:i/>
          <w:iCs/>
        </w:rPr>
        <w:t xml:space="preserve">ОБРАЗАЦ  </w:t>
      </w:r>
      <w:r w:rsidRPr="005D0023">
        <w:rPr>
          <w:b/>
          <w:bCs/>
          <w:i/>
          <w:iCs/>
          <w:lang w:val="sr-Cyrl-CS"/>
        </w:rPr>
        <w:t>СТРУКТУРЕ</w:t>
      </w:r>
      <w:proofErr w:type="gramEnd"/>
      <w:r w:rsidRPr="005D0023">
        <w:rPr>
          <w:b/>
          <w:bCs/>
          <w:i/>
          <w:iCs/>
          <w:lang w:val="sr-Cyrl-CS"/>
        </w:rPr>
        <w:t xml:space="preserve"> ЦЕНЕ </w:t>
      </w:r>
    </w:p>
    <w:p w:rsidR="00BB53BD" w:rsidRDefault="00BB53BD" w:rsidP="00BB53BD">
      <w:pPr>
        <w:pStyle w:val="BodyText"/>
        <w:rPr>
          <w:b/>
        </w:rPr>
      </w:pPr>
    </w:p>
    <w:tbl>
      <w:tblPr>
        <w:tblW w:w="9225" w:type="dxa"/>
        <w:tblInd w:w="97" w:type="dxa"/>
        <w:tblLook w:val="04A0" w:firstRow="1" w:lastRow="0" w:firstColumn="1" w:lastColumn="0" w:noHBand="0" w:noVBand="1"/>
      </w:tblPr>
      <w:tblGrid>
        <w:gridCol w:w="1180"/>
        <w:gridCol w:w="7762"/>
        <w:gridCol w:w="283"/>
      </w:tblGrid>
      <w:tr w:rsidR="006E523B" w:rsidRPr="008209B7" w:rsidTr="006A1524">
        <w:trPr>
          <w:trHeight w:val="300"/>
        </w:trPr>
        <w:tc>
          <w:tcPr>
            <w:tcW w:w="1180" w:type="dxa"/>
            <w:shd w:val="clear" w:color="auto" w:fill="CCC0D9"/>
            <w:noWrap/>
            <w:vAlign w:val="bottom"/>
            <w:hideMark/>
          </w:tcPr>
          <w:p w:rsidR="006E523B" w:rsidRPr="006E523B" w:rsidRDefault="006E523B" w:rsidP="006A1524">
            <w:pPr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/>
              </w:rPr>
            </w:pPr>
          </w:p>
        </w:tc>
        <w:tc>
          <w:tcPr>
            <w:tcW w:w="7762" w:type="dxa"/>
            <w:shd w:val="clear" w:color="auto" w:fill="CCC0D9"/>
            <w:noWrap/>
            <w:vAlign w:val="bottom"/>
            <w:hideMark/>
          </w:tcPr>
          <w:p w:rsidR="006E523B" w:rsidRPr="006E523B" w:rsidRDefault="006E523B" w:rsidP="006E523B">
            <w:pPr>
              <w:rPr>
                <w:b/>
                <w:kern w:val="0"/>
                <w:lang w:eastAsia="en-US"/>
              </w:rPr>
            </w:pPr>
            <w:proofErr w:type="spellStart"/>
            <w:r w:rsidRPr="006E523B">
              <w:rPr>
                <w:b/>
                <w:kern w:val="0"/>
                <w:lang w:eastAsia="en-US"/>
              </w:rPr>
              <w:t>Наручилац</w:t>
            </w:r>
            <w:proofErr w:type="spellEnd"/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523B" w:rsidRPr="008209B7" w:rsidRDefault="006E523B" w:rsidP="006A1524">
            <w:pPr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/>
              </w:rPr>
            </w:pPr>
          </w:p>
        </w:tc>
      </w:tr>
      <w:tr w:rsidR="006E523B" w:rsidRPr="008209B7" w:rsidTr="006A1524">
        <w:trPr>
          <w:trHeight w:val="300"/>
        </w:trPr>
        <w:tc>
          <w:tcPr>
            <w:tcW w:w="1180" w:type="dxa"/>
            <w:shd w:val="clear" w:color="auto" w:fill="CCC0D9"/>
            <w:noWrap/>
            <w:vAlign w:val="bottom"/>
            <w:hideMark/>
          </w:tcPr>
          <w:p w:rsidR="006E523B" w:rsidRPr="00862A00" w:rsidRDefault="006E523B" w:rsidP="006A1524">
            <w:pPr>
              <w:suppressAutoHyphens w:val="0"/>
              <w:spacing w:line="240" w:lineRule="auto"/>
              <w:jc w:val="both"/>
              <w:rPr>
                <w:rFonts w:eastAsia="Times New Roman"/>
                <w:b/>
                <w:kern w:val="0"/>
                <w:lang w:eastAsia="en-US"/>
              </w:rPr>
            </w:pPr>
          </w:p>
        </w:tc>
        <w:tc>
          <w:tcPr>
            <w:tcW w:w="7762" w:type="dxa"/>
            <w:shd w:val="clear" w:color="auto" w:fill="CCC0D9"/>
            <w:noWrap/>
            <w:vAlign w:val="bottom"/>
            <w:hideMark/>
          </w:tcPr>
          <w:p w:rsidR="00DF3C12" w:rsidRDefault="00DF3C12" w:rsidP="00DF3C12">
            <w:pPr>
              <w:rPr>
                <w:b/>
                <w:bCs/>
                <w:kern w:val="0"/>
                <w:lang w:val="sr-Cyrl-RS" w:eastAsia="en-US"/>
              </w:rPr>
            </w:pP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Јавно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предузеће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за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комуналије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и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услуге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„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Услуга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“ </w:t>
            </w:r>
          </w:p>
          <w:p w:rsidR="00DF3C12" w:rsidRPr="00DF3C12" w:rsidRDefault="00DF3C12" w:rsidP="00DF3C12">
            <w:pPr>
              <w:rPr>
                <w:b/>
                <w:bCs/>
                <w:kern w:val="0"/>
                <w:lang w:eastAsia="en-US"/>
              </w:rPr>
            </w:pP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улица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Добродолски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поток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бб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-17540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Босилеград</w:t>
            </w:r>
            <w:proofErr w:type="spellEnd"/>
          </w:p>
          <w:p w:rsidR="00DF3C12" w:rsidRPr="00DF3C12" w:rsidRDefault="00DF3C12" w:rsidP="00DF3C12">
            <w:pPr>
              <w:rPr>
                <w:b/>
                <w:bCs/>
                <w:kern w:val="0"/>
                <w:lang w:eastAsia="en-US"/>
              </w:rPr>
            </w:pP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Матични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број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наручиоца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>: 07357362</w:t>
            </w:r>
          </w:p>
          <w:p w:rsidR="00DF3C12" w:rsidRPr="00DF3C12" w:rsidRDefault="00DF3C12" w:rsidP="00DF3C12">
            <w:pPr>
              <w:rPr>
                <w:b/>
                <w:bCs/>
                <w:kern w:val="0"/>
                <w:lang w:val="sr-Cyrl-RS" w:eastAsia="en-US"/>
              </w:rPr>
            </w:pPr>
            <w:r w:rsidRPr="00DF3C12">
              <w:rPr>
                <w:b/>
                <w:bCs/>
                <w:kern w:val="0"/>
                <w:lang w:eastAsia="en-US"/>
              </w:rPr>
              <w:t xml:space="preserve">ПИБ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наручиоца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>: 100981084</w:t>
            </w:r>
          </w:p>
          <w:p w:rsidR="00DF3C12" w:rsidRPr="00DF3C12" w:rsidRDefault="00DF3C12" w:rsidP="00DF3C12">
            <w:pPr>
              <w:rPr>
                <w:b/>
                <w:bCs/>
                <w:kern w:val="0"/>
                <w:lang w:val="sr-Latn-RS" w:eastAsia="en-US"/>
              </w:rPr>
            </w:pPr>
            <w:r w:rsidRPr="00DF3C12">
              <w:rPr>
                <w:b/>
                <w:bCs/>
                <w:kern w:val="0"/>
                <w:lang w:val="sr-Latn-RS" w:eastAsia="en-US"/>
              </w:rPr>
              <w:t xml:space="preserve">Web adresa: </w:t>
            </w:r>
            <w:r w:rsidRPr="00DF3C12">
              <w:rPr>
                <w:b/>
                <w:bCs/>
                <w:kern w:val="0"/>
                <w:lang w:eastAsia="en-US"/>
              </w:rPr>
              <w:fldChar w:fldCharType="begin"/>
            </w:r>
            <w:r w:rsidRPr="00DF3C12">
              <w:rPr>
                <w:b/>
                <w:bCs/>
                <w:kern w:val="0"/>
                <w:lang w:eastAsia="en-US"/>
              </w:rPr>
              <w:instrText xml:space="preserve"> HYPERLINK "http://www.jpusluga-bosilegrad.rs" </w:instrText>
            </w:r>
            <w:r w:rsidRPr="00DF3C12">
              <w:rPr>
                <w:b/>
                <w:bCs/>
                <w:kern w:val="0"/>
                <w:lang w:eastAsia="en-US"/>
              </w:rPr>
              <w:fldChar w:fldCharType="separate"/>
            </w:r>
            <w:r w:rsidRPr="00DF3C12">
              <w:rPr>
                <w:rStyle w:val="Hyperlink"/>
                <w:b/>
                <w:bCs/>
                <w:kern w:val="0"/>
                <w:lang w:val="sr-Cyrl-RS" w:eastAsia="en-US"/>
              </w:rPr>
              <w:t>http://www.jpusluga-bosilegrad.rs</w:t>
            </w:r>
            <w:r w:rsidRPr="00DF3C12">
              <w:rPr>
                <w:b/>
                <w:kern w:val="0"/>
                <w:lang w:eastAsia="en-US"/>
              </w:rPr>
              <w:fldChar w:fldCharType="end"/>
            </w:r>
            <w:r w:rsidRPr="00DF3C12">
              <w:rPr>
                <w:b/>
                <w:bCs/>
                <w:kern w:val="0"/>
                <w:lang w:val="sr-Latn-RS" w:eastAsia="en-US"/>
              </w:rPr>
              <w:t xml:space="preserve"> </w:t>
            </w:r>
          </w:p>
          <w:p w:rsidR="006E523B" w:rsidRPr="006E523B" w:rsidRDefault="006E523B" w:rsidP="006E523B">
            <w:pPr>
              <w:rPr>
                <w:b/>
                <w:kern w:val="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523B" w:rsidRPr="008209B7" w:rsidRDefault="006E523B" w:rsidP="006A1524">
            <w:pPr>
              <w:suppressAutoHyphens w:val="0"/>
              <w:spacing w:line="240" w:lineRule="auto"/>
              <w:jc w:val="both"/>
              <w:rPr>
                <w:rFonts w:eastAsia="Times New Roman"/>
                <w:b/>
                <w:kern w:val="0"/>
                <w:lang w:eastAsia="en-US"/>
              </w:rPr>
            </w:pPr>
          </w:p>
        </w:tc>
      </w:tr>
    </w:tbl>
    <w:p w:rsidR="006E523B" w:rsidRDefault="006E523B" w:rsidP="006E523B">
      <w:pPr>
        <w:ind w:left="720"/>
        <w:jc w:val="both"/>
        <w:rPr>
          <w:rFonts w:eastAsia="TimesNewRomanPSMT"/>
          <w:b/>
          <w:bCs/>
          <w:sz w:val="22"/>
          <w:szCs w:val="22"/>
        </w:rPr>
      </w:pPr>
    </w:p>
    <w:p w:rsidR="006E523B" w:rsidRPr="00A119C0" w:rsidRDefault="006E523B" w:rsidP="006E523B">
      <w:pPr>
        <w:ind w:left="720"/>
        <w:jc w:val="both"/>
        <w:rPr>
          <w:rFonts w:eastAsia="TimesNewRomanPSMT"/>
          <w:b/>
          <w:bCs/>
          <w:sz w:val="22"/>
          <w:szCs w:val="22"/>
        </w:rPr>
      </w:pPr>
      <w:r>
        <w:rPr>
          <w:rFonts w:eastAsia="TimesNewRomanPSMT"/>
          <w:b/>
          <w:bCs/>
          <w:sz w:val="22"/>
          <w:szCs w:val="22"/>
        </w:rPr>
        <w:t>СПЕЦИФИКАЦИЈА :</w:t>
      </w:r>
    </w:p>
    <w:p w:rsidR="006E523B" w:rsidRDefault="006E523B" w:rsidP="006E523B">
      <w:pPr>
        <w:jc w:val="both"/>
        <w:rPr>
          <w:rFonts w:eastAsia="TimesNewRomanPSMT"/>
          <w:b/>
          <w:bCs/>
          <w:sz w:val="22"/>
          <w:szCs w:val="22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295"/>
        <w:gridCol w:w="2347"/>
        <w:gridCol w:w="1922"/>
        <w:gridCol w:w="1948"/>
      </w:tblGrid>
      <w:tr w:rsidR="006E523B" w:rsidRPr="00A119C0" w:rsidTr="006A1524">
        <w:tc>
          <w:tcPr>
            <w:tcW w:w="1803" w:type="dxa"/>
            <w:vAlign w:val="center"/>
          </w:tcPr>
          <w:p w:rsidR="006E523B" w:rsidRPr="00A119C0" w:rsidRDefault="006E523B" w:rsidP="006A1524">
            <w:pPr>
              <w:jc w:val="center"/>
              <w:rPr>
                <w:b/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>Тарифни став</w:t>
            </w:r>
          </w:p>
        </w:tc>
        <w:tc>
          <w:tcPr>
            <w:tcW w:w="1295" w:type="dxa"/>
            <w:vAlign w:val="center"/>
          </w:tcPr>
          <w:p w:rsidR="006E523B" w:rsidRPr="00A119C0" w:rsidRDefault="006E523B" w:rsidP="006A1524">
            <w:pPr>
              <w:jc w:val="center"/>
              <w:rPr>
                <w:b/>
                <w:sz w:val="22"/>
              </w:rPr>
            </w:pPr>
            <w:r w:rsidRPr="00A119C0">
              <w:rPr>
                <w:b/>
                <w:sz w:val="22"/>
                <w:szCs w:val="22"/>
              </w:rPr>
              <w:t>Јед.цена</w:t>
            </w:r>
          </w:p>
        </w:tc>
        <w:tc>
          <w:tcPr>
            <w:tcW w:w="2347" w:type="dxa"/>
            <w:vAlign w:val="center"/>
          </w:tcPr>
          <w:p w:rsidR="006E523B" w:rsidRPr="00A119C0" w:rsidRDefault="006E523B" w:rsidP="006A1524">
            <w:pPr>
              <w:jc w:val="center"/>
              <w:rPr>
                <w:b/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>Планирана год.потрошња</w:t>
            </w:r>
          </w:p>
        </w:tc>
        <w:tc>
          <w:tcPr>
            <w:tcW w:w="1922" w:type="dxa"/>
          </w:tcPr>
          <w:p w:rsidR="006E523B" w:rsidRPr="00A119C0" w:rsidRDefault="006E523B" w:rsidP="006A1524">
            <w:pPr>
              <w:jc w:val="center"/>
              <w:rPr>
                <w:b/>
                <w:sz w:val="22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>Јединична цена по kWh</w:t>
            </w:r>
          </w:p>
        </w:tc>
        <w:tc>
          <w:tcPr>
            <w:tcW w:w="1948" w:type="dxa"/>
            <w:vAlign w:val="center"/>
          </w:tcPr>
          <w:p w:rsidR="006E523B" w:rsidRPr="00A119C0" w:rsidRDefault="006E523B" w:rsidP="006A1524">
            <w:pPr>
              <w:jc w:val="center"/>
              <w:rPr>
                <w:b/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>Укупна цена без пдв-а</w:t>
            </w:r>
          </w:p>
          <w:p w:rsidR="006E523B" w:rsidRPr="00A119C0" w:rsidRDefault="006E523B" w:rsidP="006A1524">
            <w:pPr>
              <w:jc w:val="center"/>
              <w:rPr>
                <w:b/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>(3х4)</w:t>
            </w:r>
          </w:p>
        </w:tc>
      </w:tr>
      <w:tr w:rsidR="006E523B" w:rsidRPr="00A119C0" w:rsidTr="006A1524">
        <w:tc>
          <w:tcPr>
            <w:tcW w:w="1803" w:type="dxa"/>
            <w:vAlign w:val="center"/>
          </w:tcPr>
          <w:p w:rsidR="006E523B" w:rsidRPr="00A119C0" w:rsidRDefault="006E523B" w:rsidP="006A1524">
            <w:pPr>
              <w:jc w:val="center"/>
              <w:rPr>
                <w:sz w:val="22"/>
                <w:lang w:val="sr-Cyrl-CS"/>
              </w:rPr>
            </w:pPr>
            <w:r w:rsidRPr="00A119C0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95" w:type="dxa"/>
            <w:vAlign w:val="center"/>
          </w:tcPr>
          <w:p w:rsidR="006E523B" w:rsidRPr="00A119C0" w:rsidRDefault="006E523B" w:rsidP="006A1524">
            <w:pPr>
              <w:jc w:val="center"/>
              <w:rPr>
                <w:sz w:val="22"/>
                <w:lang w:val="sr-Cyrl-CS"/>
              </w:rPr>
            </w:pPr>
            <w:r w:rsidRPr="00A119C0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2347" w:type="dxa"/>
            <w:vAlign w:val="center"/>
          </w:tcPr>
          <w:p w:rsidR="006E523B" w:rsidRPr="00A119C0" w:rsidRDefault="006E523B" w:rsidP="006A1524">
            <w:pPr>
              <w:jc w:val="center"/>
              <w:rPr>
                <w:sz w:val="22"/>
                <w:lang w:val="sr-Cyrl-CS"/>
              </w:rPr>
            </w:pPr>
            <w:r w:rsidRPr="00A119C0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922" w:type="dxa"/>
          </w:tcPr>
          <w:p w:rsidR="006E523B" w:rsidRPr="00A119C0" w:rsidRDefault="006E523B" w:rsidP="006A1524">
            <w:pPr>
              <w:jc w:val="center"/>
              <w:rPr>
                <w:sz w:val="22"/>
                <w:lang w:val="sr-Cyrl-CS"/>
              </w:rPr>
            </w:pPr>
            <w:r w:rsidRPr="00A119C0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948" w:type="dxa"/>
          </w:tcPr>
          <w:p w:rsidR="006E523B" w:rsidRPr="00A119C0" w:rsidRDefault="006E523B" w:rsidP="006A1524">
            <w:pPr>
              <w:jc w:val="center"/>
              <w:rPr>
                <w:sz w:val="22"/>
                <w:lang w:val="sr-Cyrl-CS"/>
              </w:rPr>
            </w:pPr>
            <w:r w:rsidRPr="00A119C0"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6E523B" w:rsidRPr="00A119C0" w:rsidTr="006E523B">
        <w:trPr>
          <w:trHeight w:val="373"/>
        </w:trPr>
        <w:tc>
          <w:tcPr>
            <w:tcW w:w="1803" w:type="dxa"/>
            <w:vAlign w:val="center"/>
          </w:tcPr>
          <w:p w:rsidR="006E523B" w:rsidRPr="00DF3C12" w:rsidRDefault="006E523B" w:rsidP="006E523B">
            <w:pPr>
              <w:jc w:val="center"/>
              <w:rPr>
                <w:b/>
                <w:color w:val="FF0000"/>
                <w:sz w:val="22"/>
                <w:lang w:val="sr-Cyrl-CS"/>
              </w:rPr>
            </w:pPr>
            <w:r w:rsidRPr="00DF3C12">
              <w:rPr>
                <w:b/>
                <w:color w:val="FF0000"/>
                <w:sz w:val="22"/>
                <w:szCs w:val="22"/>
                <w:lang w:val="sr-Cyrl-CS"/>
              </w:rPr>
              <w:t>Активна енергија ВТ</w:t>
            </w:r>
          </w:p>
        </w:tc>
        <w:tc>
          <w:tcPr>
            <w:tcW w:w="1295" w:type="dxa"/>
            <w:vAlign w:val="center"/>
          </w:tcPr>
          <w:p w:rsidR="006E523B" w:rsidRPr="00DF3C12" w:rsidRDefault="006E523B" w:rsidP="006E523B">
            <w:pPr>
              <w:jc w:val="center"/>
              <w:rPr>
                <w:color w:val="FF0000"/>
                <w:sz w:val="22"/>
                <w:lang w:val="sr-Cyrl-CS"/>
              </w:rPr>
            </w:pPr>
            <w:r w:rsidRPr="00DF3C12">
              <w:rPr>
                <w:b/>
                <w:color w:val="FF0000"/>
                <w:sz w:val="22"/>
                <w:szCs w:val="22"/>
                <w:lang w:val="sr-Cyrl-CS"/>
              </w:rPr>
              <w:t>kWh</w:t>
            </w:r>
          </w:p>
        </w:tc>
        <w:tc>
          <w:tcPr>
            <w:tcW w:w="2347" w:type="dxa"/>
            <w:vAlign w:val="center"/>
          </w:tcPr>
          <w:p w:rsidR="006E523B" w:rsidRPr="00440DEB" w:rsidRDefault="00440DEB" w:rsidP="006E523B">
            <w:pPr>
              <w:jc w:val="center"/>
              <w:rPr>
                <w:color w:val="FF0000"/>
                <w:sz w:val="22"/>
                <w:lang w:val="sr-Latn-RS"/>
              </w:rPr>
            </w:pPr>
            <w:r>
              <w:rPr>
                <w:color w:val="FF0000"/>
                <w:sz w:val="22"/>
                <w:szCs w:val="22"/>
                <w:lang w:val="sr-Latn-RS"/>
              </w:rPr>
              <w:t>200000</w:t>
            </w:r>
          </w:p>
        </w:tc>
        <w:tc>
          <w:tcPr>
            <w:tcW w:w="1922" w:type="dxa"/>
          </w:tcPr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  <w:tc>
          <w:tcPr>
            <w:tcW w:w="1948" w:type="dxa"/>
          </w:tcPr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</w:tr>
      <w:tr w:rsidR="006E523B" w:rsidRPr="00A119C0" w:rsidTr="006E523B">
        <w:trPr>
          <w:trHeight w:val="373"/>
        </w:trPr>
        <w:tc>
          <w:tcPr>
            <w:tcW w:w="1803" w:type="dxa"/>
            <w:vAlign w:val="center"/>
          </w:tcPr>
          <w:p w:rsidR="006E523B" w:rsidRPr="00DF3C12" w:rsidRDefault="006E523B" w:rsidP="006E523B">
            <w:pPr>
              <w:jc w:val="center"/>
              <w:rPr>
                <w:b/>
                <w:color w:val="FF0000"/>
                <w:sz w:val="22"/>
                <w:lang w:val="sr-Cyrl-CS"/>
              </w:rPr>
            </w:pPr>
            <w:r w:rsidRPr="00DF3C12">
              <w:rPr>
                <w:b/>
                <w:color w:val="FF0000"/>
                <w:sz w:val="22"/>
                <w:szCs w:val="22"/>
                <w:lang w:val="sr-Cyrl-CS"/>
              </w:rPr>
              <w:t>Активна енергија НТ</w:t>
            </w:r>
          </w:p>
        </w:tc>
        <w:tc>
          <w:tcPr>
            <w:tcW w:w="1295" w:type="dxa"/>
            <w:vAlign w:val="center"/>
          </w:tcPr>
          <w:p w:rsidR="006E523B" w:rsidRPr="00DF3C12" w:rsidRDefault="006E523B" w:rsidP="006E523B">
            <w:pPr>
              <w:jc w:val="center"/>
              <w:rPr>
                <w:color w:val="FF0000"/>
                <w:sz w:val="22"/>
                <w:lang w:val="sr-Cyrl-CS"/>
              </w:rPr>
            </w:pPr>
            <w:r w:rsidRPr="00DF3C12">
              <w:rPr>
                <w:b/>
                <w:color w:val="FF0000"/>
                <w:sz w:val="22"/>
                <w:szCs w:val="22"/>
                <w:lang w:val="sr-Cyrl-CS"/>
              </w:rPr>
              <w:t>kWh</w:t>
            </w:r>
          </w:p>
        </w:tc>
        <w:tc>
          <w:tcPr>
            <w:tcW w:w="2347" w:type="dxa"/>
            <w:vAlign w:val="center"/>
          </w:tcPr>
          <w:p w:rsidR="006E523B" w:rsidRPr="00440DEB" w:rsidRDefault="00440DEB" w:rsidP="006E523B">
            <w:pPr>
              <w:jc w:val="center"/>
              <w:rPr>
                <w:color w:val="FF0000"/>
                <w:sz w:val="22"/>
                <w:lang w:val="sr-Latn-RS"/>
              </w:rPr>
            </w:pPr>
            <w:r>
              <w:rPr>
                <w:color w:val="FF0000"/>
                <w:sz w:val="22"/>
                <w:szCs w:val="22"/>
                <w:lang w:val="sr-Latn-RS"/>
              </w:rPr>
              <w:t>9000</w:t>
            </w:r>
          </w:p>
        </w:tc>
        <w:tc>
          <w:tcPr>
            <w:tcW w:w="1922" w:type="dxa"/>
          </w:tcPr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  <w:tc>
          <w:tcPr>
            <w:tcW w:w="1948" w:type="dxa"/>
          </w:tcPr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</w:tr>
      <w:tr w:rsidR="006E523B" w:rsidRPr="00A119C0" w:rsidTr="006E523B">
        <w:trPr>
          <w:trHeight w:val="373"/>
        </w:trPr>
        <w:tc>
          <w:tcPr>
            <w:tcW w:w="1803" w:type="dxa"/>
            <w:vAlign w:val="center"/>
          </w:tcPr>
          <w:p w:rsidR="006E523B" w:rsidRPr="00DF3C12" w:rsidRDefault="006E523B" w:rsidP="006E523B">
            <w:pPr>
              <w:jc w:val="center"/>
              <w:rPr>
                <w:b/>
                <w:color w:val="FF0000"/>
                <w:sz w:val="22"/>
                <w:lang w:val="sr-Cyrl-CS"/>
              </w:rPr>
            </w:pPr>
            <w:r w:rsidRPr="00DF3C12">
              <w:rPr>
                <w:b/>
                <w:color w:val="FF0000"/>
                <w:sz w:val="22"/>
                <w:szCs w:val="22"/>
                <w:lang w:val="sr-Cyrl-CS"/>
              </w:rPr>
              <w:t>Једнотарифна потрошња ЈТ/ДУТ</w:t>
            </w:r>
          </w:p>
        </w:tc>
        <w:tc>
          <w:tcPr>
            <w:tcW w:w="1295" w:type="dxa"/>
            <w:vAlign w:val="center"/>
          </w:tcPr>
          <w:p w:rsidR="006E523B" w:rsidRPr="00DF3C12" w:rsidRDefault="006E523B" w:rsidP="006E523B">
            <w:pPr>
              <w:jc w:val="center"/>
              <w:rPr>
                <w:b/>
                <w:color w:val="FF0000"/>
                <w:sz w:val="22"/>
                <w:lang w:val="sr-Cyrl-CS"/>
              </w:rPr>
            </w:pPr>
            <w:r w:rsidRPr="00DF3C12">
              <w:rPr>
                <w:b/>
                <w:color w:val="FF0000"/>
                <w:sz w:val="22"/>
                <w:szCs w:val="22"/>
                <w:lang w:val="sr-Cyrl-CS"/>
              </w:rPr>
              <w:t>kWh</w:t>
            </w:r>
          </w:p>
        </w:tc>
        <w:tc>
          <w:tcPr>
            <w:tcW w:w="2347" w:type="dxa"/>
            <w:vAlign w:val="center"/>
          </w:tcPr>
          <w:p w:rsidR="006E523B" w:rsidRPr="00440DEB" w:rsidRDefault="00440DEB" w:rsidP="006E523B">
            <w:pPr>
              <w:jc w:val="center"/>
              <w:rPr>
                <w:color w:val="FF0000"/>
                <w:sz w:val="22"/>
                <w:lang w:val="sr-Latn-RS"/>
              </w:rPr>
            </w:pPr>
            <w:r>
              <w:rPr>
                <w:color w:val="FF0000"/>
                <w:sz w:val="22"/>
                <w:szCs w:val="22"/>
                <w:lang w:val="sr-Latn-RS"/>
              </w:rPr>
              <w:t>31000</w:t>
            </w:r>
          </w:p>
        </w:tc>
        <w:tc>
          <w:tcPr>
            <w:tcW w:w="1922" w:type="dxa"/>
          </w:tcPr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  <w:tc>
          <w:tcPr>
            <w:tcW w:w="1948" w:type="dxa"/>
          </w:tcPr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</w:tr>
      <w:tr w:rsidR="006E523B" w:rsidRPr="00A119C0" w:rsidTr="006A1524">
        <w:trPr>
          <w:trHeight w:val="373"/>
        </w:trPr>
        <w:tc>
          <w:tcPr>
            <w:tcW w:w="7367" w:type="dxa"/>
            <w:gridSpan w:val="4"/>
            <w:vAlign w:val="center"/>
          </w:tcPr>
          <w:p w:rsidR="006E523B" w:rsidRPr="00A119C0" w:rsidRDefault="006E523B" w:rsidP="006E523B">
            <w:pPr>
              <w:jc w:val="right"/>
              <w:rPr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 xml:space="preserve">       Укупно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1948" w:type="dxa"/>
          </w:tcPr>
          <w:p w:rsidR="006E523B" w:rsidRDefault="006E523B" w:rsidP="006A1524">
            <w:pPr>
              <w:rPr>
                <w:sz w:val="22"/>
                <w:lang w:val="sr-Cyrl-CS"/>
              </w:rPr>
            </w:pPr>
          </w:p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</w:tr>
      <w:tr w:rsidR="006E523B" w:rsidRPr="00A119C0" w:rsidTr="006A1524">
        <w:trPr>
          <w:trHeight w:val="373"/>
        </w:trPr>
        <w:tc>
          <w:tcPr>
            <w:tcW w:w="7367" w:type="dxa"/>
            <w:gridSpan w:val="4"/>
            <w:vAlign w:val="center"/>
          </w:tcPr>
          <w:p w:rsidR="006E523B" w:rsidRPr="00A119C0" w:rsidRDefault="006E523B" w:rsidP="006E523B">
            <w:pPr>
              <w:jc w:val="right"/>
              <w:rPr>
                <w:b/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 xml:space="preserve">         ПДВ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1948" w:type="dxa"/>
          </w:tcPr>
          <w:p w:rsidR="006E523B" w:rsidRDefault="006E523B" w:rsidP="006A1524">
            <w:pPr>
              <w:rPr>
                <w:sz w:val="22"/>
                <w:lang w:val="sr-Cyrl-CS"/>
              </w:rPr>
            </w:pPr>
          </w:p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</w:tr>
      <w:tr w:rsidR="006E523B" w:rsidRPr="00A119C0" w:rsidTr="006A1524">
        <w:trPr>
          <w:trHeight w:val="373"/>
        </w:trPr>
        <w:tc>
          <w:tcPr>
            <w:tcW w:w="7367" w:type="dxa"/>
            <w:gridSpan w:val="4"/>
            <w:vAlign w:val="center"/>
          </w:tcPr>
          <w:p w:rsidR="006E523B" w:rsidRPr="00A119C0" w:rsidRDefault="006E523B" w:rsidP="006E523B">
            <w:pPr>
              <w:jc w:val="right"/>
              <w:rPr>
                <w:b/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 xml:space="preserve">Укупно са </w:t>
            </w:r>
            <w:r>
              <w:rPr>
                <w:b/>
                <w:sz w:val="22"/>
                <w:szCs w:val="22"/>
                <w:lang w:val="sr-Cyrl-CS"/>
              </w:rPr>
              <w:t>ПДВ</w:t>
            </w:r>
            <w:r w:rsidRPr="00A119C0">
              <w:rPr>
                <w:b/>
                <w:sz w:val="22"/>
                <w:szCs w:val="22"/>
                <w:lang w:val="sr-Cyrl-CS"/>
              </w:rPr>
              <w:t>-ом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1948" w:type="dxa"/>
          </w:tcPr>
          <w:p w:rsidR="006E523B" w:rsidRDefault="006E523B" w:rsidP="006A1524">
            <w:pPr>
              <w:rPr>
                <w:sz w:val="22"/>
                <w:lang w:val="sr-Cyrl-CS"/>
              </w:rPr>
            </w:pPr>
          </w:p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</w:tr>
    </w:tbl>
    <w:p w:rsidR="006E523B" w:rsidRPr="00A119C0" w:rsidRDefault="006E523B" w:rsidP="006E523B">
      <w:pPr>
        <w:jc w:val="center"/>
        <w:rPr>
          <w:b/>
          <w:sz w:val="22"/>
          <w:szCs w:val="22"/>
          <w:lang w:val="sr-Cyrl-CS"/>
        </w:rPr>
      </w:pPr>
      <w:proofErr w:type="gramStart"/>
      <w:r w:rsidRPr="00A119C0">
        <w:rPr>
          <w:b/>
          <w:sz w:val="22"/>
          <w:szCs w:val="22"/>
        </w:rPr>
        <w:t xml:space="preserve">+ </w:t>
      </w:r>
      <w:r w:rsidRPr="00A119C0">
        <w:rPr>
          <w:b/>
          <w:sz w:val="22"/>
          <w:szCs w:val="22"/>
          <w:lang w:val="sr-Cyrl-CS"/>
        </w:rPr>
        <w:t xml:space="preserve"> трошкови</w:t>
      </w:r>
      <w:proofErr w:type="gramEnd"/>
      <w:r w:rsidRPr="00A119C0">
        <w:rPr>
          <w:b/>
          <w:sz w:val="22"/>
          <w:szCs w:val="22"/>
          <w:lang w:val="sr-Cyrl-CS"/>
        </w:rPr>
        <w:t xml:space="preserve"> приступа дистрибутивном систему електричне енергије  (мрежарина)</w:t>
      </w:r>
    </w:p>
    <w:p w:rsidR="006E523B" w:rsidRPr="00A119C0" w:rsidRDefault="006E523B" w:rsidP="006E523B">
      <w:pPr>
        <w:jc w:val="center"/>
        <w:rPr>
          <w:b/>
          <w:sz w:val="22"/>
          <w:szCs w:val="22"/>
          <w:lang w:val="sr-Cyrl-CS"/>
        </w:rPr>
      </w:pPr>
      <w:r w:rsidRPr="00A119C0">
        <w:rPr>
          <w:b/>
          <w:sz w:val="22"/>
          <w:szCs w:val="22"/>
          <w:lang w:val="sr-Cyrl-CS"/>
        </w:rPr>
        <w:t>+ трошкови накнаде за подстицај повлашћених произвођача (накнада)</w:t>
      </w:r>
    </w:p>
    <w:p w:rsidR="006E523B" w:rsidRDefault="006E523B" w:rsidP="006E523B">
      <w:pPr>
        <w:jc w:val="both"/>
        <w:rPr>
          <w:b/>
          <w:sz w:val="22"/>
          <w:szCs w:val="22"/>
          <w:lang w:val="sr-Cyrl-CS"/>
        </w:rPr>
      </w:pPr>
      <w:r w:rsidRPr="00A119C0">
        <w:rPr>
          <w:b/>
          <w:i/>
          <w:sz w:val="22"/>
          <w:szCs w:val="22"/>
          <w:lang w:val="sr-Cyrl-CS"/>
        </w:rPr>
        <w:t xml:space="preserve">                                                             + </w:t>
      </w:r>
      <w:r w:rsidRPr="00842867">
        <w:rPr>
          <w:b/>
          <w:sz w:val="22"/>
          <w:szCs w:val="22"/>
          <w:lang w:val="sr-Cyrl-CS"/>
        </w:rPr>
        <w:t>ПДВ</w:t>
      </w:r>
    </w:p>
    <w:p w:rsidR="006E523B" w:rsidRDefault="006E523B" w:rsidP="006E523B">
      <w:pPr>
        <w:jc w:val="both"/>
        <w:rPr>
          <w:b/>
          <w:sz w:val="22"/>
          <w:szCs w:val="22"/>
          <w:lang w:val="sr-Cyrl-CS"/>
        </w:rPr>
      </w:pPr>
    </w:p>
    <w:p w:rsidR="00F86B2F" w:rsidRPr="00D078DA" w:rsidRDefault="00F86B2F" w:rsidP="00D078DA">
      <w:pPr>
        <w:rPr>
          <w:b/>
        </w:rPr>
      </w:pPr>
      <w:r w:rsidRPr="00D078DA">
        <w:rPr>
          <w:b/>
        </w:rPr>
        <w:t xml:space="preserve">ОПИС ПРЕДМЕТА НАБАВКЕ: </w:t>
      </w:r>
      <w:proofErr w:type="spellStart"/>
      <w:r w:rsidRPr="00D078DA">
        <w:rPr>
          <w:b/>
        </w:rPr>
        <w:t>добра</w:t>
      </w:r>
      <w:proofErr w:type="spellEnd"/>
      <w:r w:rsidRPr="00D078DA">
        <w:rPr>
          <w:b/>
        </w:rPr>
        <w:t xml:space="preserve"> – </w:t>
      </w:r>
      <w:proofErr w:type="spellStart"/>
      <w:r w:rsidRPr="00D078DA">
        <w:rPr>
          <w:b/>
        </w:rPr>
        <w:t>електрична</w:t>
      </w:r>
      <w:proofErr w:type="spellEnd"/>
      <w:r w:rsidRPr="00D078DA">
        <w:rPr>
          <w:b/>
        </w:rPr>
        <w:t xml:space="preserve"> </w:t>
      </w:r>
      <w:proofErr w:type="spellStart"/>
      <w:r w:rsidRPr="00D078DA">
        <w:rPr>
          <w:b/>
        </w:rPr>
        <w:t>енергија</w:t>
      </w:r>
      <w:proofErr w:type="spellEnd"/>
      <w:r w:rsidRPr="00D078DA">
        <w:rPr>
          <w:b/>
        </w:rPr>
        <w:t xml:space="preserve"> са циљем закључења уговора са потпуним снабдевањем.</w:t>
      </w:r>
    </w:p>
    <w:p w:rsidR="00BB53BD" w:rsidRPr="00911740" w:rsidRDefault="00BB53BD" w:rsidP="00BB53BD">
      <w:pPr>
        <w:pStyle w:val="BodyText"/>
        <w:rPr>
          <w:b/>
        </w:rPr>
      </w:pPr>
      <w:r>
        <w:rPr>
          <w:b/>
        </w:rPr>
        <w:t>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BB53BD" w:rsidRPr="00911740" w:rsidTr="008C237A">
        <w:tc>
          <w:tcPr>
            <w:tcW w:w="9242" w:type="dxa"/>
            <w:gridSpan w:val="3"/>
            <w:shd w:val="clear" w:color="auto" w:fill="auto"/>
          </w:tcPr>
          <w:p w:rsidR="00BB53BD" w:rsidRPr="00AB4195" w:rsidRDefault="00BB53BD" w:rsidP="008C237A">
            <w:pPr>
              <w:pStyle w:val="BodyText"/>
              <w:rPr>
                <w:b/>
              </w:rPr>
            </w:pPr>
            <w:r w:rsidRPr="00AB4195">
              <w:rPr>
                <w:b/>
              </w:rPr>
              <w:t xml:space="preserve">Трошкови електричне енергије које </w:t>
            </w:r>
            <w:r>
              <w:rPr>
                <w:b/>
              </w:rPr>
              <w:t>има</w:t>
            </w:r>
            <w:r w:rsidRPr="00AB4195">
              <w:rPr>
                <w:b/>
              </w:rPr>
              <w:t xml:space="preserve"> понуђач (снабдевач)</w:t>
            </w:r>
          </w:p>
        </w:tc>
      </w:tr>
      <w:tr w:rsidR="00BB53BD" w:rsidRPr="00911740" w:rsidTr="00D078DA">
        <w:tc>
          <w:tcPr>
            <w:tcW w:w="3080" w:type="dxa"/>
            <w:shd w:val="clear" w:color="auto" w:fill="auto"/>
            <w:vAlign w:val="center"/>
          </w:tcPr>
          <w:p w:rsidR="00BB53BD" w:rsidRPr="00911740" w:rsidRDefault="00BB53BD" w:rsidP="00D078DA">
            <w:pPr>
              <w:pStyle w:val="BodyText"/>
              <w:jc w:val="center"/>
            </w:pPr>
            <w:proofErr w:type="spellStart"/>
            <w:r w:rsidRPr="00911740">
              <w:t>Јединична</w:t>
            </w:r>
            <w:proofErr w:type="spellEnd"/>
            <w:r w:rsidRPr="00911740">
              <w:t xml:space="preserve"> </w:t>
            </w:r>
            <w:proofErr w:type="spellStart"/>
            <w:r w:rsidRPr="00911740">
              <w:t>цена</w:t>
            </w:r>
            <w:proofErr w:type="spellEnd"/>
            <w:r w:rsidRPr="00911740">
              <w:t xml:space="preserve"> </w:t>
            </w:r>
            <w:proofErr w:type="spellStart"/>
            <w:r w:rsidRPr="00911740">
              <w:t>за</w:t>
            </w:r>
            <w:proofErr w:type="spellEnd"/>
            <w:r w:rsidRPr="00911740">
              <w:t xml:space="preserve"> </w:t>
            </w:r>
            <w:proofErr w:type="spellStart"/>
            <w:r w:rsidRPr="00911740">
              <w:t>активну</w:t>
            </w:r>
            <w:proofErr w:type="spellEnd"/>
            <w:r w:rsidRPr="00911740">
              <w:t xml:space="preserve"> </w:t>
            </w:r>
            <w:proofErr w:type="spellStart"/>
            <w:r w:rsidRPr="00911740">
              <w:t>енергију</w:t>
            </w:r>
            <w:proofErr w:type="spellEnd"/>
          </w:p>
        </w:tc>
        <w:tc>
          <w:tcPr>
            <w:tcW w:w="3081" w:type="dxa"/>
            <w:shd w:val="clear" w:color="auto" w:fill="auto"/>
            <w:vAlign w:val="center"/>
          </w:tcPr>
          <w:p w:rsidR="00BB53BD" w:rsidRPr="00911740" w:rsidRDefault="00BB53BD" w:rsidP="00D078DA">
            <w:pPr>
              <w:pStyle w:val="BodyText"/>
              <w:jc w:val="center"/>
            </w:pPr>
            <w:proofErr w:type="spellStart"/>
            <w:r w:rsidRPr="00911740">
              <w:t>Јединична</w:t>
            </w:r>
            <w:proofErr w:type="spellEnd"/>
            <w:r w:rsidRPr="00911740">
              <w:t xml:space="preserve"> </w:t>
            </w:r>
            <w:proofErr w:type="spellStart"/>
            <w:r w:rsidRPr="00911740">
              <w:t>цена</w:t>
            </w:r>
            <w:proofErr w:type="spellEnd"/>
            <w:r w:rsidRPr="00911740">
              <w:t xml:space="preserve"> </w:t>
            </w:r>
            <w:proofErr w:type="spellStart"/>
            <w:r w:rsidRPr="00911740">
              <w:t>без</w:t>
            </w:r>
            <w:proofErr w:type="spellEnd"/>
            <w:r w:rsidRPr="00911740">
              <w:t xml:space="preserve"> ПДВ-а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BB53BD" w:rsidRPr="00911740" w:rsidRDefault="00BB53BD" w:rsidP="00D078DA">
            <w:pPr>
              <w:pStyle w:val="BodyText"/>
              <w:jc w:val="center"/>
            </w:pPr>
            <w:r w:rsidRPr="00911740">
              <w:t>Јединична цена са ПДВ-ом</w:t>
            </w:r>
          </w:p>
        </w:tc>
      </w:tr>
      <w:tr w:rsidR="00BB53BD" w:rsidRPr="00911740" w:rsidTr="008C237A">
        <w:tc>
          <w:tcPr>
            <w:tcW w:w="3080" w:type="dxa"/>
            <w:shd w:val="clear" w:color="auto" w:fill="auto"/>
          </w:tcPr>
          <w:p w:rsidR="00BB53BD" w:rsidRDefault="00BB53BD" w:rsidP="008C237A">
            <w:pPr>
              <w:pStyle w:val="BodyText"/>
              <w:spacing w:after="0" w:line="240" w:lineRule="auto"/>
            </w:pPr>
            <w:r w:rsidRPr="00911740">
              <w:t>цена</w:t>
            </w:r>
            <w:r>
              <w:t xml:space="preserve"> за Високу тарифу</w:t>
            </w:r>
          </w:p>
          <w:p w:rsidR="00BB53BD" w:rsidRPr="00911740" w:rsidRDefault="00BB53BD" w:rsidP="008C237A">
            <w:pPr>
              <w:pStyle w:val="BodyText"/>
              <w:spacing w:after="0" w:line="240" w:lineRule="auto"/>
            </w:pPr>
            <w:r>
              <w:t xml:space="preserve"> РСД</w:t>
            </w:r>
            <w:r w:rsidRPr="00911740">
              <w:t xml:space="preserve"> /</w:t>
            </w:r>
            <w:r>
              <w:t>k</w:t>
            </w:r>
            <w:r w:rsidRPr="00911740">
              <w:t>Wh</w:t>
            </w:r>
          </w:p>
        </w:tc>
        <w:tc>
          <w:tcPr>
            <w:tcW w:w="3081" w:type="dxa"/>
            <w:shd w:val="clear" w:color="auto" w:fill="auto"/>
          </w:tcPr>
          <w:p w:rsidR="00BB53BD" w:rsidRPr="00911740" w:rsidRDefault="00BB53BD" w:rsidP="008C237A">
            <w:pPr>
              <w:pStyle w:val="BodyText"/>
            </w:pPr>
          </w:p>
        </w:tc>
        <w:tc>
          <w:tcPr>
            <w:tcW w:w="3081" w:type="dxa"/>
            <w:shd w:val="clear" w:color="auto" w:fill="auto"/>
          </w:tcPr>
          <w:p w:rsidR="00BB53BD" w:rsidRPr="00911740" w:rsidRDefault="00BB53BD" w:rsidP="008C237A">
            <w:pPr>
              <w:pStyle w:val="BodyText"/>
            </w:pPr>
          </w:p>
        </w:tc>
      </w:tr>
      <w:tr w:rsidR="00BB53BD" w:rsidRPr="00911740" w:rsidTr="008C237A">
        <w:tc>
          <w:tcPr>
            <w:tcW w:w="3080" w:type="dxa"/>
            <w:shd w:val="clear" w:color="auto" w:fill="auto"/>
          </w:tcPr>
          <w:p w:rsidR="00BB53BD" w:rsidRDefault="00BB53BD" w:rsidP="008C237A">
            <w:pPr>
              <w:pStyle w:val="BodyText"/>
              <w:spacing w:after="0"/>
            </w:pPr>
            <w:r w:rsidRPr="00911740">
              <w:t>цена</w:t>
            </w:r>
            <w:r>
              <w:t xml:space="preserve"> за Ниску тарифу </w:t>
            </w:r>
          </w:p>
          <w:p w:rsidR="00BB53BD" w:rsidRPr="00911740" w:rsidRDefault="00BB53BD" w:rsidP="008C237A">
            <w:pPr>
              <w:pStyle w:val="BodyText"/>
              <w:spacing w:after="0"/>
            </w:pPr>
            <w:r>
              <w:t>РСД</w:t>
            </w:r>
            <w:r w:rsidRPr="00911740">
              <w:t xml:space="preserve"> /</w:t>
            </w:r>
            <w:r>
              <w:t>k</w:t>
            </w:r>
            <w:r w:rsidRPr="00911740">
              <w:t>Wh</w:t>
            </w:r>
          </w:p>
        </w:tc>
        <w:tc>
          <w:tcPr>
            <w:tcW w:w="3081" w:type="dxa"/>
            <w:shd w:val="clear" w:color="auto" w:fill="auto"/>
          </w:tcPr>
          <w:p w:rsidR="00BB53BD" w:rsidRPr="00911740" w:rsidRDefault="00BB53BD" w:rsidP="008C237A">
            <w:pPr>
              <w:pStyle w:val="BodyText"/>
            </w:pPr>
          </w:p>
        </w:tc>
        <w:tc>
          <w:tcPr>
            <w:tcW w:w="3081" w:type="dxa"/>
            <w:shd w:val="clear" w:color="auto" w:fill="auto"/>
          </w:tcPr>
          <w:p w:rsidR="00BB53BD" w:rsidRPr="00911740" w:rsidRDefault="00BB53BD" w:rsidP="008C237A">
            <w:pPr>
              <w:pStyle w:val="BodyText"/>
            </w:pPr>
          </w:p>
        </w:tc>
      </w:tr>
      <w:tr w:rsidR="00BB53BD" w:rsidRPr="00911740" w:rsidTr="008C237A">
        <w:tc>
          <w:tcPr>
            <w:tcW w:w="3080" w:type="dxa"/>
            <w:shd w:val="clear" w:color="auto" w:fill="auto"/>
          </w:tcPr>
          <w:p w:rsidR="00BB53BD" w:rsidRDefault="00BB53BD" w:rsidP="008C237A">
            <w:pPr>
              <w:pStyle w:val="BodyText"/>
              <w:spacing w:after="0"/>
            </w:pPr>
            <w:r>
              <w:t>Цена за једнотарифну потрошњу</w:t>
            </w:r>
          </w:p>
          <w:p w:rsidR="00BB53BD" w:rsidRPr="00D7343D" w:rsidRDefault="00BB53BD" w:rsidP="008C237A">
            <w:pPr>
              <w:pStyle w:val="BodyText"/>
              <w:spacing w:after="0"/>
            </w:pPr>
            <w:r>
              <w:t>РСД</w:t>
            </w:r>
            <w:r w:rsidRPr="00911740">
              <w:t xml:space="preserve"> /</w:t>
            </w:r>
            <w:r>
              <w:t>k</w:t>
            </w:r>
            <w:r w:rsidRPr="00911740">
              <w:t>Wh</w:t>
            </w:r>
          </w:p>
        </w:tc>
        <w:tc>
          <w:tcPr>
            <w:tcW w:w="3081" w:type="dxa"/>
            <w:shd w:val="clear" w:color="auto" w:fill="auto"/>
          </w:tcPr>
          <w:p w:rsidR="00BB53BD" w:rsidRPr="00911740" w:rsidRDefault="00BB53BD" w:rsidP="008C237A">
            <w:pPr>
              <w:pStyle w:val="BodyText"/>
            </w:pPr>
          </w:p>
        </w:tc>
        <w:tc>
          <w:tcPr>
            <w:tcW w:w="3081" w:type="dxa"/>
            <w:shd w:val="clear" w:color="auto" w:fill="auto"/>
          </w:tcPr>
          <w:p w:rsidR="00BB53BD" w:rsidRPr="00911740" w:rsidRDefault="00BB53BD" w:rsidP="008C237A">
            <w:pPr>
              <w:pStyle w:val="BodyText"/>
            </w:pPr>
          </w:p>
        </w:tc>
      </w:tr>
    </w:tbl>
    <w:p w:rsidR="00BB53BD" w:rsidRPr="009E2F4D" w:rsidRDefault="00BB53BD" w:rsidP="00BB53BD">
      <w:pPr>
        <w:pStyle w:val="BodyText"/>
        <w:rPr>
          <w:b/>
        </w:rPr>
      </w:pPr>
      <w:r w:rsidRPr="009E2F4D">
        <w:rPr>
          <w:b/>
        </w:rPr>
        <w:t>Б)</w:t>
      </w:r>
    </w:p>
    <w:p w:rsidR="00BB53BD" w:rsidRPr="00EB7FDE" w:rsidRDefault="00BB53BD" w:rsidP="00BB53BD">
      <w:pPr>
        <w:pStyle w:val="BodyText"/>
        <w:rPr>
          <w:b/>
        </w:rPr>
      </w:pPr>
      <w:r w:rsidRPr="00EB7FDE">
        <w:rPr>
          <w:b/>
        </w:rPr>
        <w:t>Трошкови који припадају оператору система и који су регулисани Одлукама на које сагласност даје Агенција за енергетику РС:</w:t>
      </w:r>
    </w:p>
    <w:p w:rsidR="00BB53BD" w:rsidRDefault="00BB53BD" w:rsidP="00BB53BD">
      <w:pPr>
        <w:numPr>
          <w:ilvl w:val="0"/>
          <w:numId w:val="1"/>
        </w:numPr>
        <w:rPr>
          <w:b/>
          <w:bCs/>
          <w:lang w:val="sr-Cyrl-CS"/>
        </w:rPr>
      </w:pPr>
      <w:r>
        <w:rPr>
          <w:b/>
          <w:bCs/>
          <w:lang w:val="sr-Cyrl-CS"/>
        </w:rPr>
        <w:t>Трошкови приступа систему за пренос електричне енергије важећи у време подношења понуде</w:t>
      </w:r>
    </w:p>
    <w:p w:rsidR="00BB53BD" w:rsidRDefault="00BB53BD" w:rsidP="00BB53BD">
      <w:pPr>
        <w:numPr>
          <w:ilvl w:val="0"/>
          <w:numId w:val="1"/>
        </w:numPr>
        <w:rPr>
          <w:b/>
          <w:bCs/>
          <w:lang w:val="sr-Cyrl-CS"/>
        </w:rPr>
      </w:pPr>
      <w:r>
        <w:rPr>
          <w:b/>
          <w:bCs/>
          <w:lang w:val="sr-Cyrl-CS"/>
        </w:rPr>
        <w:t>Трошкови приступа систему за дистрибуцију електричне енергије важећи у време подношења понуде</w:t>
      </w:r>
    </w:p>
    <w:p w:rsidR="00BB53BD" w:rsidRDefault="00BB53BD" w:rsidP="00BB53BD">
      <w:pPr>
        <w:numPr>
          <w:ilvl w:val="0"/>
          <w:numId w:val="1"/>
        </w:numPr>
        <w:rPr>
          <w:b/>
          <w:bCs/>
          <w:lang w:val="sr-Cyrl-CS"/>
        </w:rPr>
      </w:pPr>
      <w:r>
        <w:rPr>
          <w:b/>
          <w:bCs/>
          <w:lang w:val="sr-Cyrl-CS"/>
        </w:rPr>
        <w:lastRenderedPageBreak/>
        <w:t>Трошкови накнаде за подстицај повлашћених произвођача електричне енергије</w:t>
      </w:r>
    </w:p>
    <w:p w:rsidR="00BB53BD" w:rsidRDefault="00BB53BD" w:rsidP="00BB53BD">
      <w:pPr>
        <w:rPr>
          <w:b/>
          <w:bCs/>
          <w:lang w:val="sr-Cyrl-CS"/>
        </w:rPr>
      </w:pPr>
    </w:p>
    <w:p w:rsidR="0038427B" w:rsidRDefault="00BB53BD">
      <w:pPr>
        <w:rPr>
          <w:bCs/>
          <w:lang w:val="sr-Latn-RS"/>
        </w:rPr>
      </w:pPr>
      <w:r>
        <w:rPr>
          <w:b/>
          <w:bCs/>
          <w:lang w:val="sr-Cyrl-CS"/>
        </w:rPr>
        <w:t xml:space="preserve">Напомена: </w:t>
      </w:r>
      <w:r w:rsidRPr="005B3D6B">
        <w:rPr>
          <w:bCs/>
          <w:lang w:val="sr-Cyrl-CS"/>
        </w:rPr>
        <w:t>понуђач треба да понуди јединичну цену за Високу тарифу, Ниску тарифу и једнотарифну потрошњу иск</w:t>
      </w:r>
      <w:r>
        <w:rPr>
          <w:bCs/>
          <w:lang w:val="sr-Cyrl-CS"/>
        </w:rPr>
        <w:t>а</w:t>
      </w:r>
      <w:r w:rsidRPr="005B3D6B">
        <w:rPr>
          <w:bCs/>
          <w:lang w:val="sr-Cyrl-CS"/>
        </w:rPr>
        <w:t>зану са пдв-ом и без пдв-а</w:t>
      </w:r>
      <w:r>
        <w:rPr>
          <w:bCs/>
          <w:lang w:val="sr-Cyrl-CS"/>
        </w:rPr>
        <w:t>, као остале трошкове увоза, царине, преноса и сл</w:t>
      </w:r>
      <w:r w:rsidRPr="005B3D6B">
        <w:rPr>
          <w:bCs/>
          <w:lang w:val="sr-Cyrl-CS"/>
        </w:rPr>
        <w:t>.</w:t>
      </w:r>
    </w:p>
    <w:p w:rsidR="009F054A" w:rsidRDefault="009F054A">
      <w:pPr>
        <w:rPr>
          <w:bCs/>
          <w:lang w:val="sr-Latn-RS"/>
        </w:rPr>
      </w:pP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да постоји рачунска грешка наручилац ће од понуђача затражити да прихвати исправку исте а понуђач је у обавези да најкасније у року од 5 дана од дана пријема захтева да достави одговор.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Наручилац ће захтев за исправком рачунске грешке послати е-маилом да е-маил понуђача дат у понуди понуђача. Датум слања е-маил се рачуна као дан пријема од кога почиње да тече рок за одговор.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Ако се понуђач не сагласи са исправком рачунске грешке, наручилац ће његову понуду одбити.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разлике између јединичне и укупне цене, меродавна је јединична цена.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да се цене из овог обрасца и цене у обрасцу понуде који понуђач подноси не слажу односно нису исте наручилац ће такву понуду одбити.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bookmarkStart w:id="0" w:name="_GoBack"/>
      <w:bookmarkEnd w:id="0"/>
      <w:r w:rsidRPr="009F054A">
        <w:rPr>
          <w:rFonts w:eastAsia="Calibri"/>
          <w:color w:val="auto"/>
          <w:kern w:val="0"/>
          <w:sz w:val="22"/>
          <w:szCs w:val="22"/>
          <w:lang w:val="sr-Cyrl-CS" w:eastAsia="en-US"/>
        </w:rPr>
        <w:t>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попуњен траженим подацима и</w:t>
      </w:r>
      <w:r w:rsidRPr="009F054A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 xml:space="preserve"> </w:t>
      </w:r>
      <w:r w:rsidRPr="009F054A">
        <w:rPr>
          <w:rFonts w:eastAsia="Calibri"/>
          <w:color w:val="auto"/>
          <w:kern w:val="0"/>
          <w:sz w:val="22"/>
          <w:szCs w:val="22"/>
          <w:lang w:val="sr-Cyrl-CS" w:eastAsia="en-US"/>
        </w:rPr>
        <w:t>достављен непотписан биће прихватљив за наручиоца.</w:t>
      </w:r>
    </w:p>
    <w:p w:rsidR="009F054A" w:rsidRPr="009F054A" w:rsidRDefault="009F054A">
      <w:pPr>
        <w:rPr>
          <w:bCs/>
          <w:lang w:val="sr-Latn-RS"/>
        </w:rPr>
      </w:pPr>
    </w:p>
    <w:sectPr w:rsidR="009F054A" w:rsidRPr="009F054A" w:rsidSect="00D078DA">
      <w:pgSz w:w="12240" w:h="15840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6749F"/>
    <w:multiLevelType w:val="hybridMultilevel"/>
    <w:tmpl w:val="EFFC3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53BD"/>
    <w:rsid w:val="00071C70"/>
    <w:rsid w:val="001A25DE"/>
    <w:rsid w:val="001F0A4B"/>
    <w:rsid w:val="003772A0"/>
    <w:rsid w:val="0038427B"/>
    <w:rsid w:val="00440DEB"/>
    <w:rsid w:val="006E523B"/>
    <w:rsid w:val="009F054A"/>
    <w:rsid w:val="00BB53BD"/>
    <w:rsid w:val="00D078DA"/>
    <w:rsid w:val="00D61A33"/>
    <w:rsid w:val="00DF3C12"/>
    <w:rsid w:val="00F8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BD"/>
    <w:pPr>
      <w:suppressAutoHyphens/>
      <w:spacing w:line="100" w:lineRule="atLeast"/>
    </w:pPr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53B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53BD"/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F3C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mirjana.dakic</dc:creator>
  <cp:lastModifiedBy>Ivan</cp:lastModifiedBy>
  <cp:revision>8</cp:revision>
  <dcterms:created xsi:type="dcterms:W3CDTF">2020-12-07T10:08:00Z</dcterms:created>
  <dcterms:modified xsi:type="dcterms:W3CDTF">2020-12-30T08:00:00Z</dcterms:modified>
</cp:coreProperties>
</file>